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0A116" w14:textId="77777777" w:rsidR="009D32EF" w:rsidRDefault="009D2BF1">
      <w:pPr>
        <w:tabs>
          <w:tab w:val="center" w:pos="4513"/>
          <w:tab w:val="right" w:pos="9026"/>
        </w:tabs>
        <w:spacing w:after="0" w:line="240" w:lineRule="auto"/>
        <w:jc w:val="center"/>
      </w:pPr>
      <w:r>
        <w:rPr>
          <w:b/>
          <w:sz w:val="40"/>
          <w:szCs w:val="40"/>
        </w:rPr>
        <w:t>Grant Application Guidelines</w:t>
      </w:r>
    </w:p>
    <w:p w14:paraId="4470AB39" w14:textId="77777777" w:rsidR="009D32EF" w:rsidRDefault="009D2BF1">
      <w:pPr>
        <w:pStyle w:val="Heading1"/>
        <w:jc w:val="both"/>
      </w:pPr>
      <w:r>
        <w:t xml:space="preserve">About the Foundation </w:t>
      </w:r>
    </w:p>
    <w:p w14:paraId="44FA76E7" w14:textId="5A6DAF97" w:rsidR="00D93A71" w:rsidRDefault="00D93A71">
      <w:pPr>
        <w:jc w:val="both"/>
      </w:pPr>
      <w:r w:rsidRPr="00D93A71">
        <w:t>The Albert &amp; Barbara Tucker Foundation is a philanthropic organisation based in Melbourne Australia. We are focussed on supporting registered charitable organisations who are actively making a positive difference in the lives of humans, animals and the natural environment. Our aim is to support organisations with the provision of grants up to $25,000 per year. Many of our grants have been awarded to small scale grassroots groups, who may otherwise struggle to attract the funding of larger more prominent organisations.</w:t>
      </w:r>
    </w:p>
    <w:p w14:paraId="31658891" w14:textId="3F7D4CDC" w:rsidR="009D32EF" w:rsidRDefault="009D2BF1">
      <w:pPr>
        <w:jc w:val="both"/>
      </w:pPr>
      <w:r>
        <w:t>Albert Tucker is known as one of Australia’s foremost artists and as a key figure in the development of Australian modernism in Melbourne. Primarily a figurative painter, his works responded to the world around him and his own life experiences, and they often reflected critically on society. During his career he played an active role in art politics, particularly in the1940s, writing influential articles about the direction of art in Australia. He also held prominent positions within the art community, including President of the Contemporary Art Society in the late 1940s and again in the 1960s.</w:t>
      </w:r>
    </w:p>
    <w:p w14:paraId="1F34FADE" w14:textId="77777777" w:rsidR="009D32EF" w:rsidRDefault="009D2BF1">
      <w:pPr>
        <w:jc w:val="both"/>
      </w:pPr>
      <w:r>
        <w:t xml:space="preserve">Tucker grew up during the Depression and began his career as a young artist in the late 1930s, in the years leading up to the outbreak of World War II. At this time, his world was defined by financial insecurity, social inequality and war, and these concerns became the catalyst for much of his painting. Influenced by his peers as well as European modernism, he developed an expressive style through which he communicated his disillusionment about society during wartime. He believed the war contributed to decaying moral values in Melbourne. </w:t>
      </w:r>
    </w:p>
    <w:p w14:paraId="754B2AEB" w14:textId="482725E2" w:rsidR="009D32EF" w:rsidRDefault="009D2BF1">
      <w:pPr>
        <w:jc w:val="both"/>
      </w:pPr>
      <w:r>
        <w:t xml:space="preserve">His Images of Modern Evil series (1943–47) represented the city as a dangerous place and reflected a </w:t>
      </w:r>
      <w:r>
        <w:lastRenderedPageBreak/>
        <w:t xml:space="preserve">new spirit in Australian painting. Imagery in his work from the 1940s also derived from his </w:t>
      </w:r>
      <w:proofErr w:type="gramStart"/>
      <w:r>
        <w:t>first hand</w:t>
      </w:r>
      <w:proofErr w:type="gramEnd"/>
      <w:r>
        <w:t xml:space="preserve"> experiences of the horrors of war. In 1942 he was based at the Heidelberg Military Hospital as an illustrator for medical records, and there saw soldiers suffering from horrific injuries and psychological damage. Often dark, ominous and unsettling, his wartime paintings interwove his pessimistic thoughts about war, life and society.</w:t>
      </w:r>
    </w:p>
    <w:p w14:paraId="5FBA65B7" w14:textId="77777777" w:rsidR="009D32EF" w:rsidRDefault="009D2BF1">
      <w:pPr>
        <w:jc w:val="both"/>
      </w:pPr>
      <w:r>
        <w:t xml:space="preserve">Barbara Tucker was devoted to Bert for the 35 years of their marriage and, following Bert’s death in 1999, to his legacy and the management of his estate. Barbara was a founding member of the Redmond Barry Society at the State Library of Victoria. Recognising both the importance of the Library to Bert and his earlier gift of a Barrett Reid portrait, Barbara made a major donation to the Library in 2004, followed by many other significant donations, including paintings, papers, photographs and some of Bert’s memorabilia, including Ned Kelly’s rifle. </w:t>
      </w:r>
    </w:p>
    <w:p w14:paraId="0CDD1080" w14:textId="77777777" w:rsidR="009D32EF" w:rsidRDefault="009D2BF1">
      <w:pPr>
        <w:jc w:val="both"/>
      </w:pPr>
      <w:r>
        <w:t xml:space="preserve">Barbara also gave generously to the National Gallery of Australia, National Portrait Gallery, Art Gallery of New South Wales, the National Gallery of Victoria, Monash Gallery of Art and Benalla Art Gallery. Then, of course, there were significant donations to Heide. </w:t>
      </w:r>
    </w:p>
    <w:p w14:paraId="17CEAB03" w14:textId="77777777" w:rsidR="009D32EF" w:rsidRDefault="009D2BF1">
      <w:pPr>
        <w:jc w:val="both"/>
      </w:pPr>
      <w:r>
        <w:t xml:space="preserve">Barbara passed away in May 2015, leaving explicit instruction in her will, that the </w:t>
      </w:r>
      <w:proofErr w:type="gramStart"/>
      <w:r>
        <w:t>long cherished</w:t>
      </w:r>
      <w:proofErr w:type="gramEnd"/>
      <w:r>
        <w:t xml:space="preserve"> dream of both she and Bert be established. A charitable trust, to be known as the Albert and Barbara Tucker Foundation. </w:t>
      </w:r>
    </w:p>
    <w:p w14:paraId="6E834184" w14:textId="77777777" w:rsidR="009D32EF" w:rsidRDefault="009D2BF1">
      <w:pPr>
        <w:jc w:val="both"/>
      </w:pPr>
      <w:r>
        <w:t>Their individual creative, humanitarian and environmental interests culminate to form the body of causes to be supported by the trust as follows.</w:t>
      </w:r>
    </w:p>
    <w:p w14:paraId="3C756455" w14:textId="541F9E72" w:rsidR="009D32EF" w:rsidRDefault="009D2BF1">
      <w:pPr>
        <w:jc w:val="both"/>
      </w:pPr>
      <w:r>
        <w:t>Each year, the Tucker Foundation will consider applications from organisations seeking to undertake projects that further the Foundation's aims and objectives.</w:t>
      </w:r>
    </w:p>
    <w:p w14:paraId="5B19C965" w14:textId="0750195D" w:rsidR="00D93A71" w:rsidRPr="00D93A71" w:rsidRDefault="00D93A71">
      <w:pPr>
        <w:jc w:val="both"/>
        <w:rPr>
          <w:b/>
          <w:bCs/>
          <w:sz w:val="28"/>
          <w:szCs w:val="28"/>
        </w:rPr>
      </w:pPr>
      <w:r w:rsidRPr="00D93A71">
        <w:rPr>
          <w:b/>
          <w:bCs/>
          <w:sz w:val="28"/>
          <w:szCs w:val="28"/>
        </w:rPr>
        <w:t>Our Priorities</w:t>
      </w:r>
    </w:p>
    <w:p w14:paraId="51E6D70B" w14:textId="15D9134D" w:rsidR="00D93A71" w:rsidRDefault="00D93A71">
      <w:pPr>
        <w:jc w:val="both"/>
      </w:pPr>
      <w:r w:rsidRPr="00D93A71">
        <w:t xml:space="preserve">The following information is provided to help you ascertain whether your project is in line with our core values. We know your time is precious, so please read these guidelines carefully before applying. If you have any questions that have not been answered here please email </w:t>
      </w:r>
      <w:hyperlink r:id="rId7" w:history="1">
        <w:r w:rsidRPr="00EC62D1">
          <w:rPr>
            <w:rStyle w:val="Hyperlink"/>
          </w:rPr>
          <w:t>mara@tuckerfoundation.org.au</w:t>
        </w:r>
      </w:hyperlink>
      <w:r>
        <w:t xml:space="preserve"> . </w:t>
      </w:r>
    </w:p>
    <w:p w14:paraId="47AAADDB" w14:textId="77777777" w:rsidR="00D93A71" w:rsidRDefault="00D93A71" w:rsidP="00D93A71">
      <w:pPr>
        <w:jc w:val="both"/>
      </w:pPr>
      <w:r>
        <w:t>Much of our funding is allocated to small scale, grassroots groups that are well placed to make a real difference but have limited resources and often struggle to find funding. We prioritize groups who are entirely or predominantly run by volunteers. If an organisation is in the fortunate position of having many supporters and corporate sponsors or can secure mainstream funding such as government grants, their application will likely be unsuccessful.</w:t>
      </w:r>
    </w:p>
    <w:p w14:paraId="79DC970D" w14:textId="22C78915" w:rsidR="00D93A71" w:rsidRDefault="00D93A71" w:rsidP="00D93A71">
      <w:pPr>
        <w:jc w:val="both"/>
      </w:pPr>
      <w:r>
        <w:t>Given the current environmental and humanitarian crises facing our planet, our dedication to supporting groups involved at the grass roots has never been stronger. As a result of this we tend to prioritize projects that deal with their response in a practical and clear way. Examples of this include</w:t>
      </w:r>
      <w:r w:rsidR="00E27C3C">
        <w:t>:</w:t>
      </w:r>
      <w:r>
        <w:t xml:space="preserve"> Purchases of vital equipment, such as vehicles for wildlife rescue, purchase of plants for revegetation projects, or funding of projects that qualify vulnerable women to begin paid employment. </w:t>
      </w:r>
    </w:p>
    <w:p w14:paraId="1E9BCE87" w14:textId="77777777" w:rsidR="00D93A71" w:rsidRDefault="00D93A71" w:rsidP="00D93A71">
      <w:pPr>
        <w:jc w:val="both"/>
      </w:pPr>
      <w:r>
        <w:t xml:space="preserve">We are looking for an honest and transparent breakdown of how the funds we provide will be put to work. If your application is too long, providing little or no real assessment of how the funds are to be allocated, you will likely be unsuccessful. </w:t>
      </w:r>
    </w:p>
    <w:p w14:paraId="1557608C" w14:textId="21B84DE3" w:rsidR="00D93A71" w:rsidRDefault="00D93A71" w:rsidP="00D93A71">
      <w:pPr>
        <w:jc w:val="both"/>
      </w:pPr>
      <w:r>
        <w:t xml:space="preserve"> (Please see Tucker Foundations previous grant recipients page to see our funding at work)</w:t>
      </w:r>
    </w:p>
    <w:p w14:paraId="7E96E29F" w14:textId="77777777" w:rsidR="009D32EF" w:rsidRDefault="009D2BF1">
      <w:pPr>
        <w:pStyle w:val="Heading1"/>
        <w:jc w:val="both"/>
      </w:pPr>
      <w:r>
        <w:lastRenderedPageBreak/>
        <w:t>Tucker Foundation Aims and Objectives</w:t>
      </w:r>
    </w:p>
    <w:p w14:paraId="7D80F47B" w14:textId="77777777" w:rsidR="009D32EF" w:rsidRDefault="009D2BF1">
      <w:pPr>
        <w:numPr>
          <w:ilvl w:val="0"/>
          <w:numId w:val="4"/>
        </w:numPr>
        <w:spacing w:after="0"/>
        <w:ind w:hanging="360"/>
        <w:jc w:val="both"/>
      </w:pPr>
      <w:r>
        <w:t>The support, promotion, development and advancement of public art galleries and museums.</w:t>
      </w:r>
    </w:p>
    <w:p w14:paraId="5730034D" w14:textId="77777777" w:rsidR="009D32EF" w:rsidRDefault="009D2BF1">
      <w:pPr>
        <w:numPr>
          <w:ilvl w:val="0"/>
          <w:numId w:val="4"/>
        </w:numPr>
        <w:spacing w:after="0"/>
        <w:ind w:hanging="360"/>
        <w:jc w:val="both"/>
      </w:pPr>
      <w:r>
        <w:t>The relief of poverty and the suffering of children.</w:t>
      </w:r>
    </w:p>
    <w:p w14:paraId="67FB7B1C" w14:textId="77777777" w:rsidR="009D32EF" w:rsidRDefault="009D2BF1">
      <w:pPr>
        <w:numPr>
          <w:ilvl w:val="0"/>
          <w:numId w:val="4"/>
        </w:numPr>
        <w:spacing w:after="0"/>
        <w:ind w:hanging="360"/>
        <w:jc w:val="both"/>
      </w:pPr>
      <w:r>
        <w:t>The provision of or support for scholarships to disadvantaged children or young adults up to the age of twenty-five years (25) to enable them to pursue their education at primary, secondary or tertiary institutions.</w:t>
      </w:r>
    </w:p>
    <w:p w14:paraId="35AECEB8" w14:textId="77777777" w:rsidR="009D32EF" w:rsidRDefault="009D2BF1">
      <w:pPr>
        <w:numPr>
          <w:ilvl w:val="0"/>
          <w:numId w:val="4"/>
        </w:numPr>
        <w:spacing w:after="0"/>
        <w:ind w:hanging="360"/>
        <w:jc w:val="both"/>
      </w:pPr>
      <w:r>
        <w:t>The protection of women from abuse, assisting women in these circumstances to further their education and providing support to women in these circumstances</w:t>
      </w:r>
    </w:p>
    <w:p w14:paraId="0E3D31C1" w14:textId="77777777" w:rsidR="009D32EF" w:rsidRDefault="009D2BF1">
      <w:pPr>
        <w:numPr>
          <w:ilvl w:val="0"/>
          <w:numId w:val="4"/>
        </w:numPr>
        <w:spacing w:after="0"/>
        <w:ind w:hanging="360"/>
        <w:jc w:val="both"/>
      </w:pPr>
      <w:r>
        <w:t>The initiation and support of social change which goes towards increasing the equal treatment and social acceptance of all persons in the community.</w:t>
      </w:r>
    </w:p>
    <w:p w14:paraId="5CAA6279" w14:textId="77777777" w:rsidR="009D32EF" w:rsidRDefault="009D2BF1">
      <w:pPr>
        <w:numPr>
          <w:ilvl w:val="0"/>
          <w:numId w:val="4"/>
        </w:numPr>
        <w:spacing w:after="0"/>
        <w:ind w:hanging="360"/>
        <w:jc w:val="both"/>
      </w:pPr>
      <w:r>
        <w:t>The protection of wildlife and habitat, and to preserve natural reserves of forest, oceans and wilderness and for the rehabilitation of flora and fauna.</w:t>
      </w:r>
    </w:p>
    <w:p w14:paraId="0F909FFD" w14:textId="77777777" w:rsidR="009D32EF" w:rsidRDefault="009D2BF1">
      <w:pPr>
        <w:numPr>
          <w:ilvl w:val="0"/>
          <w:numId w:val="4"/>
        </w:numPr>
        <w:spacing w:after="0"/>
        <w:ind w:hanging="360"/>
        <w:jc w:val="both"/>
      </w:pPr>
      <w:r>
        <w:t>The prevention of cruelty to animals and the promotion of animal welfare.</w:t>
      </w:r>
    </w:p>
    <w:p w14:paraId="3A567332" w14:textId="77777777" w:rsidR="009D32EF" w:rsidRDefault="009D2BF1">
      <w:pPr>
        <w:pStyle w:val="Heading1"/>
        <w:jc w:val="both"/>
      </w:pPr>
      <w:r>
        <w:t>Available Funding</w:t>
      </w:r>
    </w:p>
    <w:p w14:paraId="218E072E" w14:textId="77777777" w:rsidR="009D32EF" w:rsidRDefault="009D2BF1">
      <w:pPr>
        <w:spacing w:after="0"/>
        <w:jc w:val="both"/>
      </w:pPr>
      <w:r>
        <w:t>The Foundation’s funding has been made available through the estate of the late Albert and Barbara Tucker, as per their wishes.</w:t>
      </w:r>
    </w:p>
    <w:p w14:paraId="60B62429" w14:textId="77777777" w:rsidR="009D32EF" w:rsidRDefault="009D32EF">
      <w:pPr>
        <w:spacing w:after="0"/>
        <w:jc w:val="both"/>
      </w:pPr>
    </w:p>
    <w:p w14:paraId="4696186E" w14:textId="10B2B602" w:rsidR="009D32EF" w:rsidRDefault="0034584E">
      <w:pPr>
        <w:spacing w:after="0"/>
        <w:jc w:val="both"/>
      </w:pPr>
      <w:r>
        <w:t>In the 20</w:t>
      </w:r>
      <w:r w:rsidR="00D4613B">
        <w:t>20</w:t>
      </w:r>
      <w:r>
        <w:t xml:space="preserve"> funding round, g</w:t>
      </w:r>
      <w:r w:rsidR="009D2BF1">
        <w:t>rants</w:t>
      </w:r>
      <w:r>
        <w:t xml:space="preserve"> applications</w:t>
      </w:r>
      <w:r w:rsidR="009D2BF1">
        <w:t xml:space="preserve"> </w:t>
      </w:r>
      <w:r>
        <w:t>for</w:t>
      </w:r>
      <w:r w:rsidR="009D2BF1">
        <w:t xml:space="preserve"> up to $25,000 will be considered</w:t>
      </w:r>
      <w:r>
        <w:t>.</w:t>
      </w:r>
      <w:r w:rsidR="009D2BF1">
        <w:t xml:space="preserve"> </w:t>
      </w:r>
    </w:p>
    <w:p w14:paraId="0733FE25" w14:textId="77777777" w:rsidR="00820E13" w:rsidRDefault="00820E13">
      <w:pPr>
        <w:spacing w:after="0"/>
        <w:jc w:val="both"/>
      </w:pPr>
    </w:p>
    <w:p w14:paraId="70A97E2C" w14:textId="77777777" w:rsidR="0034584E" w:rsidRDefault="0034584E">
      <w:pPr>
        <w:spacing w:after="0"/>
        <w:jc w:val="both"/>
      </w:pPr>
      <w:r>
        <w:t xml:space="preserve">Grants are available to organisations with income tax exemption and ACNC registration for local, regional or national projects anywhere in Australia. Australian organisations seeking funding for projects undertaken overseas may also be considered. </w:t>
      </w:r>
    </w:p>
    <w:p w14:paraId="315A48AF" w14:textId="77777777" w:rsidR="009D32EF" w:rsidRDefault="009D2BF1">
      <w:pPr>
        <w:pStyle w:val="Heading1"/>
        <w:jc w:val="both"/>
      </w:pPr>
      <w:r>
        <w:t>Eligibility/Who can apply</w:t>
      </w:r>
    </w:p>
    <w:p w14:paraId="6FA32E39" w14:textId="39925FF0" w:rsidR="009D32EF" w:rsidRDefault="009D2BF1">
      <w:pPr>
        <w:numPr>
          <w:ilvl w:val="0"/>
          <w:numId w:val="1"/>
        </w:numPr>
        <w:spacing w:after="0"/>
        <w:ind w:hanging="360"/>
        <w:jc w:val="both"/>
      </w:pPr>
      <w:r>
        <w:t xml:space="preserve">Any charitable organisation which is entitled to be exempt entities as defined in Section 995-1 (1) of the </w:t>
      </w:r>
      <w:proofErr w:type="spellStart"/>
      <w:r>
        <w:t>lncome</w:t>
      </w:r>
      <w:proofErr w:type="spellEnd"/>
      <w:r>
        <w:t xml:space="preserve"> Tax Assessment Act </w:t>
      </w:r>
    </w:p>
    <w:p w14:paraId="623139F0" w14:textId="533D79C2" w:rsidR="009D32EF" w:rsidRDefault="009D2BF1">
      <w:pPr>
        <w:numPr>
          <w:ilvl w:val="0"/>
          <w:numId w:val="1"/>
        </w:numPr>
        <w:spacing w:after="0"/>
        <w:ind w:hanging="360"/>
        <w:jc w:val="both"/>
      </w:pPr>
      <w:r>
        <w:t>Proof of current registration with the ACNC (Australian Charities and Not-for-profits Commission) must be provided</w:t>
      </w:r>
    </w:p>
    <w:p w14:paraId="7874DD0B" w14:textId="2F4F1413" w:rsidR="009417FF" w:rsidRDefault="009417FF">
      <w:pPr>
        <w:numPr>
          <w:ilvl w:val="0"/>
          <w:numId w:val="1"/>
        </w:numPr>
        <w:spacing w:after="0"/>
        <w:ind w:hanging="360"/>
        <w:jc w:val="both"/>
      </w:pPr>
      <w:r>
        <w:t xml:space="preserve">If an applicant intends to be </w:t>
      </w:r>
      <w:proofErr w:type="spellStart"/>
      <w:r>
        <w:t>auspiced</w:t>
      </w:r>
      <w:proofErr w:type="spellEnd"/>
      <w:r>
        <w:t xml:space="preserve"> by another organisation they must email </w:t>
      </w:r>
      <w:hyperlink r:id="rId8" w:history="1">
        <w:r w:rsidRPr="004638B3">
          <w:rPr>
            <w:rStyle w:val="Hyperlink"/>
          </w:rPr>
          <w:t>mara@tuckerfoundation.org.au</w:t>
        </w:r>
      </w:hyperlink>
      <w:r>
        <w:t xml:space="preserve"> and request an </w:t>
      </w:r>
      <w:proofErr w:type="spellStart"/>
      <w:r>
        <w:t>auspiced</w:t>
      </w:r>
      <w:proofErr w:type="spellEnd"/>
      <w:r>
        <w:t xml:space="preserve"> organisation application form.</w:t>
      </w:r>
    </w:p>
    <w:p w14:paraId="1588A87F" w14:textId="77777777" w:rsidR="009D32EF" w:rsidRDefault="009D2BF1">
      <w:pPr>
        <w:pStyle w:val="Heading1"/>
        <w:jc w:val="both"/>
      </w:pPr>
      <w:r>
        <w:t>Criteria</w:t>
      </w:r>
    </w:p>
    <w:p w14:paraId="36B4D0BA" w14:textId="77777777" w:rsidR="009D32EF" w:rsidRDefault="009D2BF1">
      <w:pPr>
        <w:numPr>
          <w:ilvl w:val="0"/>
          <w:numId w:val="3"/>
        </w:numPr>
        <w:spacing w:after="0"/>
        <w:ind w:hanging="360"/>
        <w:jc w:val="both"/>
      </w:pPr>
      <w:r>
        <w:t>In line with one or more of the Foundation’s aims</w:t>
      </w:r>
    </w:p>
    <w:p w14:paraId="51B83913" w14:textId="77777777" w:rsidR="009D32EF" w:rsidRDefault="009D2BF1">
      <w:pPr>
        <w:numPr>
          <w:ilvl w:val="0"/>
          <w:numId w:val="3"/>
        </w:numPr>
        <w:spacing w:after="0"/>
        <w:ind w:hanging="360"/>
        <w:jc w:val="both"/>
      </w:pPr>
      <w:r>
        <w:t>Clear budget including any funding from other sources and in kind/pro bono etc</w:t>
      </w:r>
    </w:p>
    <w:p w14:paraId="23726F03" w14:textId="77777777" w:rsidR="009D32EF" w:rsidRDefault="009D2BF1">
      <w:pPr>
        <w:numPr>
          <w:ilvl w:val="0"/>
          <w:numId w:val="3"/>
        </w:numPr>
        <w:spacing w:after="0"/>
        <w:ind w:hanging="360"/>
        <w:jc w:val="both"/>
      </w:pPr>
      <w:r>
        <w:t>Clear methodology, aims and outcomes</w:t>
      </w:r>
    </w:p>
    <w:p w14:paraId="78198926" w14:textId="77777777" w:rsidR="009D32EF" w:rsidRDefault="009D2BF1">
      <w:pPr>
        <w:numPr>
          <w:ilvl w:val="0"/>
          <w:numId w:val="3"/>
        </w:numPr>
        <w:spacing w:after="0"/>
        <w:ind w:hanging="360"/>
        <w:jc w:val="both"/>
      </w:pPr>
      <w:r>
        <w:t>Demonstrable capacity to achieve stated outcomes</w:t>
      </w:r>
    </w:p>
    <w:p w14:paraId="06AF6674" w14:textId="77777777" w:rsidR="009D32EF" w:rsidRDefault="009D2BF1">
      <w:pPr>
        <w:numPr>
          <w:ilvl w:val="0"/>
          <w:numId w:val="3"/>
        </w:numPr>
        <w:spacing w:after="0"/>
        <w:ind w:hanging="360"/>
        <w:jc w:val="both"/>
      </w:pPr>
      <w:r>
        <w:t>Projects must be for the benefit of the Public</w:t>
      </w:r>
    </w:p>
    <w:p w14:paraId="11FA1622" w14:textId="77777777" w:rsidR="009D32EF" w:rsidRDefault="009D2BF1">
      <w:pPr>
        <w:pStyle w:val="Heading1"/>
        <w:tabs>
          <w:tab w:val="left" w:pos="2950"/>
        </w:tabs>
        <w:jc w:val="both"/>
      </w:pPr>
      <w:r>
        <w:t>Selection Process</w:t>
      </w:r>
      <w:r>
        <w:tab/>
      </w:r>
    </w:p>
    <w:p w14:paraId="422FCD59" w14:textId="77777777" w:rsidR="009D32EF" w:rsidRDefault="009D2BF1">
      <w:pPr>
        <w:spacing w:after="0"/>
        <w:jc w:val="both"/>
      </w:pPr>
      <w:r>
        <w:t>The allocation of grants is at the discretion of the Trustee of the Foundation and will be based on alignment with the Foundation’s aims and objectives, merit, need and benefit to the community and environment.</w:t>
      </w:r>
    </w:p>
    <w:p w14:paraId="3EE5B59C" w14:textId="77777777" w:rsidR="009D32EF" w:rsidRDefault="009D32EF">
      <w:pPr>
        <w:spacing w:after="0"/>
        <w:jc w:val="both"/>
      </w:pPr>
    </w:p>
    <w:p w14:paraId="0D74F931" w14:textId="77777777" w:rsidR="009D32EF" w:rsidRDefault="009D2BF1">
      <w:pPr>
        <w:spacing w:after="0"/>
        <w:jc w:val="both"/>
      </w:pPr>
      <w:r>
        <w:t>If necessary, the Trustee may seek further information to assist with the selection process.</w:t>
      </w:r>
    </w:p>
    <w:p w14:paraId="5B888645" w14:textId="77777777" w:rsidR="009D32EF" w:rsidRDefault="009D32EF">
      <w:pPr>
        <w:spacing w:after="0"/>
        <w:jc w:val="both"/>
      </w:pPr>
    </w:p>
    <w:p w14:paraId="1F93EB1F" w14:textId="77777777" w:rsidR="009D32EF" w:rsidRDefault="009D2BF1">
      <w:pPr>
        <w:spacing w:after="0"/>
        <w:jc w:val="both"/>
      </w:pPr>
      <w:r>
        <w:lastRenderedPageBreak/>
        <w:t>Once grant recipients have been selected, the nominated contact person for each application will be contacted to advise them of the outcome.</w:t>
      </w:r>
    </w:p>
    <w:p w14:paraId="08AFC6E0" w14:textId="77777777" w:rsidR="009D32EF" w:rsidRDefault="009D32EF">
      <w:pPr>
        <w:spacing w:after="0"/>
        <w:jc w:val="both"/>
      </w:pPr>
    </w:p>
    <w:p w14:paraId="5A6D4535" w14:textId="40CA16BC" w:rsidR="009D32EF" w:rsidRDefault="009D2BF1">
      <w:pPr>
        <w:spacing w:after="0"/>
        <w:jc w:val="both"/>
      </w:pPr>
      <w:r>
        <w:t>The Trustee requires that a receipt is returned within one month of receiving the grant.</w:t>
      </w:r>
    </w:p>
    <w:p w14:paraId="23D6FBF9" w14:textId="098D327D" w:rsidR="003F4CC5" w:rsidRDefault="003F4CC5">
      <w:pPr>
        <w:spacing w:after="0"/>
        <w:jc w:val="both"/>
      </w:pPr>
    </w:p>
    <w:p w14:paraId="08D68D47" w14:textId="5794BB8A" w:rsidR="003F4CC5" w:rsidRDefault="003F4CC5">
      <w:pPr>
        <w:spacing w:after="0"/>
        <w:jc w:val="both"/>
      </w:pPr>
      <w:r>
        <w:t>Please note that the Tucker Foundation will not discuss or provide advice regarding the content of applications with applicant organisations. We aim to treat all applications equally. Decisions are based on the content of the application form.  We aim to strike a balance across all our aims and objectives and a range of geographic areas.</w:t>
      </w:r>
    </w:p>
    <w:p w14:paraId="2D04E72F" w14:textId="77777777" w:rsidR="009D32EF" w:rsidRDefault="001204FD">
      <w:pPr>
        <w:pStyle w:val="Heading1"/>
        <w:jc w:val="both"/>
      </w:pPr>
      <w:r>
        <w:t>G</w:t>
      </w:r>
      <w:r w:rsidR="009D2BF1">
        <w:t>rant Agreement and Reporting</w:t>
      </w:r>
    </w:p>
    <w:p w14:paraId="3025C340" w14:textId="77777777" w:rsidR="009D32EF" w:rsidRDefault="009D2BF1">
      <w:pPr>
        <w:spacing w:after="0"/>
        <w:jc w:val="both"/>
      </w:pPr>
      <w:r>
        <w:t>The Trustee requires successful applicants to complete and return a Grant Agreement.  Grant Reports are required from organisations receiving funds of $2,000 or over. This information is included in the letter of offer to successful grant recipients and includes:</w:t>
      </w:r>
    </w:p>
    <w:p w14:paraId="33C04B89" w14:textId="77777777" w:rsidR="009D32EF" w:rsidRDefault="009D2BF1">
      <w:pPr>
        <w:numPr>
          <w:ilvl w:val="0"/>
          <w:numId w:val="2"/>
        </w:numPr>
        <w:spacing w:after="0"/>
        <w:ind w:hanging="360"/>
        <w:jc w:val="both"/>
      </w:pPr>
      <w:r>
        <w:t>A Grant Agreement;</w:t>
      </w:r>
    </w:p>
    <w:p w14:paraId="731EA613" w14:textId="77777777" w:rsidR="009D32EF" w:rsidRDefault="009D2BF1">
      <w:pPr>
        <w:numPr>
          <w:ilvl w:val="0"/>
          <w:numId w:val="2"/>
        </w:numPr>
        <w:spacing w:after="0"/>
        <w:ind w:hanging="360"/>
        <w:jc w:val="both"/>
      </w:pPr>
      <w:r>
        <w:t>Confirmation that a Grant Report is required and instructions of what it should contain;</w:t>
      </w:r>
    </w:p>
    <w:p w14:paraId="79D628E6" w14:textId="77777777" w:rsidR="009D32EF" w:rsidRDefault="009D2BF1">
      <w:pPr>
        <w:numPr>
          <w:ilvl w:val="0"/>
          <w:numId w:val="2"/>
        </w:numPr>
        <w:spacing w:after="0"/>
        <w:ind w:hanging="360"/>
        <w:jc w:val="both"/>
      </w:pPr>
      <w:r>
        <w:t xml:space="preserve">For organisations which have received a grant of $2000 or over, all outstanding project reports will be followed up. If reports are not received future funding applications will not be accepted. </w:t>
      </w:r>
    </w:p>
    <w:p w14:paraId="27EC0574" w14:textId="77777777" w:rsidR="009D32EF" w:rsidRDefault="009D2BF1">
      <w:pPr>
        <w:pStyle w:val="Heading1"/>
        <w:jc w:val="both"/>
      </w:pPr>
      <w:r>
        <w:t>Application closing date</w:t>
      </w:r>
    </w:p>
    <w:p w14:paraId="2499FD66" w14:textId="2A0E28A7" w:rsidR="009D32EF" w:rsidRDefault="009D2BF1">
      <w:pPr>
        <w:spacing w:after="0"/>
        <w:jc w:val="both"/>
      </w:pPr>
      <w:r>
        <w:t>Applications should be addressed to Mara Bonacci, Grant Manager and emailed</w:t>
      </w:r>
      <w:r w:rsidR="002C673D">
        <w:t xml:space="preserve"> as a Word document</w:t>
      </w:r>
      <w:r>
        <w:t xml:space="preserve"> to </w:t>
      </w:r>
      <w:hyperlink r:id="rId9">
        <w:r>
          <w:rPr>
            <w:color w:val="1155CC"/>
            <w:u w:val="single"/>
          </w:rPr>
          <w:t>mara@tuckerfoundation.org.au</w:t>
        </w:r>
      </w:hyperlink>
      <w:r>
        <w:t xml:space="preserve"> and received by no later than</w:t>
      </w:r>
      <w:r w:rsidR="0034584E">
        <w:t xml:space="preserve"> 5pm AEST on</w:t>
      </w:r>
      <w:r>
        <w:t xml:space="preserve"> </w:t>
      </w:r>
      <w:r w:rsidR="00563E8A">
        <w:t xml:space="preserve">Friday </w:t>
      </w:r>
      <w:r w:rsidR="003F4CC5">
        <w:t>1</w:t>
      </w:r>
      <w:r w:rsidR="00E27C3C">
        <w:t>4</w:t>
      </w:r>
      <w:r w:rsidR="003F4CC5" w:rsidRPr="003F4CC5">
        <w:rPr>
          <w:vertAlign w:val="superscript"/>
        </w:rPr>
        <w:t>th</w:t>
      </w:r>
      <w:r w:rsidR="003F4CC5">
        <w:t xml:space="preserve"> </w:t>
      </w:r>
      <w:r w:rsidR="0034584E">
        <w:t>August 20</w:t>
      </w:r>
      <w:r w:rsidR="00E27C3C">
        <w:t>20</w:t>
      </w:r>
      <w:r>
        <w:t>.</w:t>
      </w:r>
    </w:p>
    <w:p w14:paraId="429AE5C1" w14:textId="77777777" w:rsidR="009D32EF" w:rsidRDefault="009D32EF">
      <w:pPr>
        <w:spacing w:after="0"/>
        <w:jc w:val="both"/>
      </w:pPr>
    </w:p>
    <w:p w14:paraId="4B6D03B1" w14:textId="3FF1F829" w:rsidR="009D32EF" w:rsidRDefault="009D2BF1">
      <w:pPr>
        <w:spacing w:after="0"/>
        <w:jc w:val="both"/>
      </w:pPr>
      <w:r>
        <w:t xml:space="preserve">Applicants will be notified of the outcome of their application in </w:t>
      </w:r>
      <w:r w:rsidR="0034584E">
        <w:t>late</w:t>
      </w:r>
      <w:r>
        <w:t xml:space="preserve"> 201</w:t>
      </w:r>
      <w:r w:rsidR="003F4CC5">
        <w:t>9</w:t>
      </w:r>
      <w:r>
        <w:t>.</w:t>
      </w:r>
    </w:p>
    <w:sectPr w:rsidR="009D32EF">
      <w:headerReference w:type="default" r:id="rId10"/>
      <w:headerReference w:type="first" r:id="rId11"/>
      <w:footerReference w:type="first" r:id="rId12"/>
      <w:pgSz w:w="11906" w:h="16838"/>
      <w:pgMar w:top="1281" w:right="1440" w:bottom="863"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144D0" w14:textId="77777777" w:rsidR="00B2601F" w:rsidRDefault="00B2601F">
      <w:pPr>
        <w:spacing w:after="0" w:line="240" w:lineRule="auto"/>
      </w:pPr>
      <w:r>
        <w:separator/>
      </w:r>
    </w:p>
  </w:endnote>
  <w:endnote w:type="continuationSeparator" w:id="0">
    <w:p w14:paraId="0FB8B063" w14:textId="77777777" w:rsidR="00B2601F" w:rsidRDefault="00B2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7316" w14:textId="77777777" w:rsidR="009D32EF" w:rsidRDefault="009D2BF1">
    <w:pPr>
      <w:spacing w:after="920"/>
    </w:pPr>
    <w:r>
      <w:rPr>
        <w:noProof/>
      </w:rPr>
      <w:drawing>
        <wp:inline distT="114300" distB="114300" distL="114300" distR="114300" wp14:anchorId="23E983FB" wp14:editId="5078E82F">
          <wp:extent cx="5734050" cy="2730500"/>
          <wp:effectExtent l="0" t="0" r="0" b="0"/>
          <wp:docPr id="1" name="image3.jpg" descr="TUCKER LHEAD lower part 210mmW x 100mm H no bleed.jpg"/>
          <wp:cNvGraphicFramePr/>
          <a:graphic xmlns:a="http://schemas.openxmlformats.org/drawingml/2006/main">
            <a:graphicData uri="http://schemas.openxmlformats.org/drawingml/2006/picture">
              <pic:pic xmlns:pic="http://schemas.openxmlformats.org/drawingml/2006/picture">
                <pic:nvPicPr>
                  <pic:cNvPr id="0" name="image3.jpg" descr="TUCKER LHEAD lower part 210mmW x 100mm H no bleed.jpg"/>
                  <pic:cNvPicPr preferRelativeResize="0"/>
                </pic:nvPicPr>
                <pic:blipFill>
                  <a:blip r:embed="rId1"/>
                  <a:srcRect/>
                  <a:stretch>
                    <a:fillRect/>
                  </a:stretch>
                </pic:blipFill>
                <pic:spPr>
                  <a:xfrm>
                    <a:off x="0" y="0"/>
                    <a:ext cx="5734050" cy="2730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F6B97" w14:textId="77777777" w:rsidR="00B2601F" w:rsidRDefault="00B2601F">
      <w:pPr>
        <w:spacing w:after="0" w:line="240" w:lineRule="auto"/>
      </w:pPr>
      <w:r>
        <w:separator/>
      </w:r>
    </w:p>
  </w:footnote>
  <w:footnote w:type="continuationSeparator" w:id="0">
    <w:p w14:paraId="08DF8390" w14:textId="77777777" w:rsidR="00B2601F" w:rsidRDefault="00B2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92A3" w14:textId="77777777" w:rsidR="009D32EF" w:rsidRDefault="009D2BF1">
    <w:pPr>
      <w:tabs>
        <w:tab w:val="center" w:pos="4513"/>
        <w:tab w:val="right" w:pos="9026"/>
      </w:tabs>
      <w:spacing w:before="708"/>
      <w:jc w:val="right"/>
      <w:rPr>
        <w:i/>
        <w:u w:val="single"/>
      </w:rPr>
    </w:pPr>
    <w:r>
      <w:rPr>
        <w:i/>
        <w:u w:val="single"/>
      </w:rPr>
      <w:t>Tucker Foundation Grant Application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9E08D" w14:textId="77777777" w:rsidR="009D32EF" w:rsidRDefault="009D2BF1">
    <w:pPr>
      <w:tabs>
        <w:tab w:val="center" w:pos="4513"/>
        <w:tab w:val="right" w:pos="9026"/>
      </w:tabs>
      <w:spacing w:before="708" w:after="0" w:line="240" w:lineRule="auto"/>
      <w:jc w:val="center"/>
      <w:rPr>
        <w:sz w:val="40"/>
        <w:szCs w:val="40"/>
      </w:rPr>
    </w:pPr>
    <w:r>
      <w:rPr>
        <w:b/>
        <w:noProof/>
        <w:sz w:val="40"/>
        <w:szCs w:val="40"/>
      </w:rPr>
      <w:drawing>
        <wp:inline distT="114300" distB="114300" distL="114300" distR="114300" wp14:anchorId="7958481B" wp14:editId="4AD336C8">
          <wp:extent cx="2690813" cy="1479500"/>
          <wp:effectExtent l="0" t="0" r="0" b="0"/>
          <wp:docPr id="2" name="image4.jpg" descr="email logo WITH KEYLINE.jpg"/>
          <wp:cNvGraphicFramePr/>
          <a:graphic xmlns:a="http://schemas.openxmlformats.org/drawingml/2006/main">
            <a:graphicData uri="http://schemas.openxmlformats.org/drawingml/2006/picture">
              <pic:pic xmlns:pic="http://schemas.openxmlformats.org/drawingml/2006/picture">
                <pic:nvPicPr>
                  <pic:cNvPr id="0" name="image4.jpg" descr="email logo WITH KEYLINE.jpg"/>
                  <pic:cNvPicPr preferRelativeResize="0"/>
                </pic:nvPicPr>
                <pic:blipFill>
                  <a:blip r:embed="rId1"/>
                  <a:srcRect/>
                  <a:stretch>
                    <a:fillRect/>
                  </a:stretch>
                </pic:blipFill>
                <pic:spPr>
                  <a:xfrm>
                    <a:off x="0" y="0"/>
                    <a:ext cx="2690813" cy="1479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E5585"/>
    <w:multiLevelType w:val="multilevel"/>
    <w:tmpl w:val="4DA667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F065A87"/>
    <w:multiLevelType w:val="multilevel"/>
    <w:tmpl w:val="8D14E2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E5B5E7B"/>
    <w:multiLevelType w:val="multilevel"/>
    <w:tmpl w:val="E47062B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15:restartNumberingAfterBreak="0">
    <w:nsid w:val="78A810E4"/>
    <w:multiLevelType w:val="multilevel"/>
    <w:tmpl w:val="4EDCBE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EF"/>
    <w:rsid w:val="00067FC2"/>
    <w:rsid w:val="00107622"/>
    <w:rsid w:val="001204FD"/>
    <w:rsid w:val="001730F5"/>
    <w:rsid w:val="0020327E"/>
    <w:rsid w:val="002C673D"/>
    <w:rsid w:val="00312F61"/>
    <w:rsid w:val="0034584E"/>
    <w:rsid w:val="003F4CC5"/>
    <w:rsid w:val="004E3D6F"/>
    <w:rsid w:val="00563E8A"/>
    <w:rsid w:val="0067022A"/>
    <w:rsid w:val="00820E13"/>
    <w:rsid w:val="00860E29"/>
    <w:rsid w:val="009417FF"/>
    <w:rsid w:val="009540DF"/>
    <w:rsid w:val="009D2BF1"/>
    <w:rsid w:val="009D32EF"/>
    <w:rsid w:val="00AA6C0D"/>
    <w:rsid w:val="00B2601F"/>
    <w:rsid w:val="00D4613B"/>
    <w:rsid w:val="00D93A71"/>
    <w:rsid w:val="00E27C3C"/>
    <w:rsid w:val="00E75343"/>
    <w:rsid w:val="00F05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1ACC"/>
  <w15:docId w15:val="{1B148440-603B-4B14-91B6-AD1FAA97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AU" w:eastAsia="en-AU"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45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84E"/>
    <w:rPr>
      <w:rFonts w:ascii="Segoe UI" w:hAnsi="Segoe UI" w:cs="Segoe UI"/>
      <w:sz w:val="18"/>
      <w:szCs w:val="18"/>
    </w:rPr>
  </w:style>
  <w:style w:type="character" w:styleId="Hyperlink">
    <w:name w:val="Hyperlink"/>
    <w:basedOn w:val="DefaultParagraphFont"/>
    <w:uiPriority w:val="99"/>
    <w:unhideWhenUsed/>
    <w:rsid w:val="009417FF"/>
    <w:rPr>
      <w:color w:val="0563C1" w:themeColor="hyperlink"/>
      <w:u w:val="single"/>
    </w:rPr>
  </w:style>
  <w:style w:type="character" w:styleId="UnresolvedMention">
    <w:name w:val="Unresolved Mention"/>
    <w:basedOn w:val="DefaultParagraphFont"/>
    <w:uiPriority w:val="99"/>
    <w:semiHidden/>
    <w:unhideWhenUsed/>
    <w:rsid w:val="0094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861023">
      <w:bodyDiv w:val="1"/>
      <w:marLeft w:val="0"/>
      <w:marRight w:val="0"/>
      <w:marTop w:val="0"/>
      <w:marBottom w:val="0"/>
      <w:divBdr>
        <w:top w:val="none" w:sz="0" w:space="0" w:color="auto"/>
        <w:left w:val="none" w:sz="0" w:space="0" w:color="auto"/>
        <w:bottom w:val="none" w:sz="0" w:space="0" w:color="auto"/>
        <w:right w:val="none" w:sz="0" w:space="0" w:color="auto"/>
      </w:divBdr>
    </w:div>
    <w:div w:id="936524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a@tuckerfoundation.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a@tuckerfoundation.org.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a@tuckerfoundation.org.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Marsy</dc:creator>
  <cp:lastModifiedBy>Natalie Lowrey</cp:lastModifiedBy>
  <cp:revision>2</cp:revision>
  <dcterms:created xsi:type="dcterms:W3CDTF">2020-06-21T13:50:00Z</dcterms:created>
  <dcterms:modified xsi:type="dcterms:W3CDTF">2020-06-21T13:50:00Z</dcterms:modified>
</cp:coreProperties>
</file>